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keepLines/>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rPr>
          <w:spacing w:val="0"/>
          <w:w w:val="100"/>
          <w:position w:val="0"/>
        </w:rPr>
      </w:pPr>
      <w:bookmarkStart w:id="0" w:name="bookmark1"/>
      <w:bookmarkStart w:id="1" w:name="bookmark0"/>
      <w:bookmarkStart w:id="2" w:name="bookmark2"/>
    </w:p>
    <w:p>
      <w:pPr>
        <w:pStyle w:val="12"/>
        <w:keepNext/>
        <w:keepLines/>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r>
        <w:rPr>
          <w:spacing w:val="0"/>
          <w:w w:val="100"/>
          <w:position w:val="0"/>
        </w:rPr>
        <w:t>社会责任报告</w:t>
      </w:r>
      <w:bookmarkEnd w:id="0"/>
      <w:bookmarkEnd w:id="1"/>
      <w:bookmarkEnd w:id="2"/>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rPr>
          <w:rFonts w:ascii="宋体" w:hAnsi="宋体" w:eastAsia="宋体" w:cs="宋体"/>
          <w:b/>
          <w:bCs/>
          <w:color w:val="5C5C5C"/>
          <w:spacing w:val="0"/>
          <w:w w:val="100"/>
          <w:position w:val="0"/>
          <w:sz w:val="34"/>
          <w:szCs w:val="34"/>
        </w:rPr>
      </w:pPr>
      <w:r>
        <w:rPr>
          <w:rFonts w:ascii="Times New Roman" w:hAnsi="Times New Roman" w:eastAsia="Times New Roman" w:cs="Times New Roman"/>
          <w:b/>
          <w:bCs/>
          <w:color w:val="5C5C5C"/>
          <w:spacing w:val="0"/>
          <w:w w:val="100"/>
          <w:position w:val="0"/>
          <w:sz w:val="34"/>
          <w:szCs w:val="34"/>
        </w:rPr>
        <w:t>（202</w:t>
      </w:r>
      <w:r>
        <w:rPr>
          <w:rFonts w:hint="eastAsia" w:eastAsia="宋体" w:cs="Times New Roman"/>
          <w:b/>
          <w:bCs/>
          <w:color w:val="5C5C5C"/>
          <w:spacing w:val="0"/>
          <w:w w:val="100"/>
          <w:position w:val="0"/>
          <w:sz w:val="34"/>
          <w:szCs w:val="34"/>
          <w:lang w:val="en-US" w:eastAsia="zh-CN"/>
        </w:rPr>
        <w:t>3</w:t>
      </w:r>
      <w:r>
        <w:rPr>
          <w:rFonts w:ascii="宋体" w:hAnsi="宋体" w:eastAsia="宋体" w:cs="宋体"/>
          <w:b/>
          <w:bCs/>
          <w:color w:val="5C5C5C"/>
          <w:spacing w:val="0"/>
          <w:w w:val="100"/>
          <w:position w:val="0"/>
          <w:sz w:val="34"/>
          <w:szCs w:val="34"/>
        </w:rPr>
        <w:t>年度）</w:t>
      </w: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rPr>
          <w:rFonts w:ascii="宋体" w:hAnsi="宋体" w:eastAsia="宋体" w:cs="宋体"/>
          <w:b w:val="0"/>
          <w:bCs w:val="0"/>
          <w:color w:val="5C5C5C"/>
          <w:spacing w:val="0"/>
          <w:w w:val="100"/>
          <w:position w:val="0"/>
          <w:sz w:val="34"/>
          <w:szCs w:val="34"/>
        </w:rPr>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rPr>
          <w:sz w:val="48"/>
          <w:szCs w:val="48"/>
        </w:rPr>
      </w:pPr>
      <w:r>
        <w:rPr>
          <w:rFonts w:hint="eastAsia"/>
          <w:sz w:val="48"/>
          <w:szCs w:val="48"/>
          <w:lang w:val="en-US" w:eastAsia="zh-CN"/>
        </w:rPr>
        <w:t>吉荣家具有限公司</w:t>
      </w: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bookmarkStart w:id="18" w:name="_GoBack"/>
      <w:bookmarkEnd w:id="18"/>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leftChars="0" w:right="0" w:firstLine="0" w:firstLineChars="0"/>
        <w:jc w:val="center"/>
        <w:textAlignment w:val="auto"/>
      </w:pPr>
    </w:p>
    <w:p>
      <w:pPr>
        <w:widowControl w:val="0"/>
        <w:jc w:val="center"/>
        <w:rPr>
          <w:sz w:val="2"/>
          <w:szCs w:val="2"/>
        </w:rPr>
      </w:pPr>
    </w:p>
    <w:p>
      <w:pPr>
        <w:bidi w:val="0"/>
        <w:rPr>
          <w:b/>
          <w:bCs/>
        </w:rPr>
      </w:pPr>
      <w:r>
        <w:rPr>
          <w:b/>
          <w:bCs/>
        </w:rPr>
        <w:t>时间范围</w:t>
      </w:r>
    </w:p>
    <w:p>
      <w:pPr>
        <w:bidi w:val="0"/>
      </w:pPr>
      <w:r>
        <w:rPr>
          <w:rFonts w:hint="eastAsia"/>
          <w:lang w:eastAsia="zh-CN"/>
        </w:rPr>
        <w:t>2023</w:t>
      </w:r>
      <w:r>
        <w:t>年1月1日至</w:t>
      </w:r>
      <w:r>
        <w:rPr>
          <w:rFonts w:hint="eastAsia"/>
          <w:lang w:eastAsia="zh-CN"/>
        </w:rPr>
        <w:t>2023</w:t>
      </w:r>
      <w:r>
        <w:t>年12月31日</w:t>
      </w:r>
    </w:p>
    <w:p>
      <w:pPr>
        <w:bidi w:val="0"/>
        <w:rPr>
          <w:b/>
          <w:bCs/>
        </w:rPr>
      </w:pPr>
      <w:r>
        <w:rPr>
          <w:b/>
          <w:bCs/>
        </w:rPr>
        <w:t>报告范围</w:t>
      </w:r>
    </w:p>
    <w:p>
      <w:pPr>
        <w:bidi w:val="0"/>
      </w:pPr>
      <w:r>
        <w:t>本报告覆盖</w:t>
      </w:r>
      <w:r>
        <w:rPr>
          <w:rFonts w:hint="eastAsia"/>
          <w:lang w:val="en-US" w:eastAsia="zh-CN"/>
        </w:rPr>
        <w:t>吉荣家具有限公司</w:t>
      </w:r>
      <w:r>
        <w:t>现有厂区。</w:t>
      </w:r>
    </w:p>
    <w:p>
      <w:pPr>
        <w:bidi w:val="0"/>
        <w:rPr>
          <w:b/>
          <w:bCs/>
        </w:rPr>
      </w:pPr>
      <w:r>
        <w:rPr>
          <w:b/>
          <w:bCs/>
        </w:rPr>
        <w:t>信息来源</w:t>
      </w:r>
    </w:p>
    <w:p>
      <w:pPr>
        <w:bidi w:val="0"/>
        <w:sectPr>
          <w:footerReference r:id="rId6" w:type="first"/>
          <w:footerReference r:id="rId5" w:type="default"/>
          <w:footnotePr>
            <w:numFmt w:val="decimal"/>
          </w:footnotePr>
          <w:pgSz w:w="11900" w:h="16840"/>
          <w:pgMar w:top="2154" w:right="1250" w:bottom="1406" w:left="1487" w:header="0" w:footer="3" w:gutter="0"/>
          <w:pgNumType w:start="1"/>
          <w:cols w:space="720" w:num="1"/>
          <w:titlePg/>
          <w:rtlGutter w:val="0"/>
          <w:docGrid w:linePitch="360" w:charSpace="0"/>
        </w:sectPr>
      </w:pPr>
      <w:r>
        <w:t>全部信息数据来自本公司的正式文件、统计报告与财务报告,以及经由本公司统计、汇总与审核的社会责任实践信息。其中报告的业务数据来自于本公司内部各部门相关统计数据</w:t>
      </w:r>
      <w:r>
        <w:rPr>
          <w:color w:val="000000"/>
          <w:spacing w:val="0"/>
          <w:w w:val="100"/>
          <w:position w:val="0"/>
        </w:rPr>
        <w:t>。</w:t>
      </w:r>
    </w:p>
    <w:p>
      <w:pPr>
        <w:numPr>
          <w:ilvl w:val="0"/>
          <w:numId w:val="1"/>
        </w:numPr>
        <w:bidi w:val="0"/>
        <w:rPr>
          <w:b/>
          <w:bCs/>
        </w:rPr>
      </w:pPr>
      <w:r>
        <w:rPr>
          <w:b/>
          <w:bCs/>
        </w:rPr>
        <w:t>企业简介</w:t>
      </w:r>
    </w:p>
    <w:p>
      <w:pPr>
        <w:shd w:val="clear" w:color="auto" w:fill="auto"/>
        <w:bidi w:val="0"/>
        <w:rPr>
          <w:rFonts w:hint="eastAsia" w:ascii="Times New Roman" w:hAnsi="Times New Roman" w:cs="Times New Roman"/>
          <w:lang w:val="en-US" w:eastAsia="zh-CN"/>
        </w:rPr>
      </w:pPr>
      <w:bookmarkStart w:id="3" w:name="bookmark4"/>
      <w:r>
        <w:rPr>
          <w:rFonts w:hint="eastAsia" w:ascii="Times New Roman" w:hAnsi="Times New Roman" w:cs="Times New Roman"/>
          <w:lang w:val="en-US" w:eastAsia="zh-CN"/>
        </w:rPr>
        <w:t>吉荣家具有限公司创建于1966年，现已发展成为一家拥有自主进出口权的综合性大型家具制造企业。吉荣家具专门从事于影剧院座椅、教学家具、办公家具等领域的设计、生产、维护与保养，以独到的、多角度、多方位的销售服务体系满足了广大客户的需求，形成售前、售中、售后一条龙的规范化服务流程。</w:t>
      </w:r>
      <w:r>
        <w:rPr>
          <w:rFonts w:hint="eastAsia" w:ascii="Times New Roman" w:hAnsi="Times New Roman" w:cs="Times New Roman"/>
          <w:lang w:val="en-US" w:eastAsia="zh-CN"/>
        </w:rPr>
        <w:br w:type="textWrapping"/>
      </w:r>
      <w:r>
        <w:rPr>
          <w:rFonts w:hint="eastAsia" w:cs="Times New Roman"/>
          <w:lang w:val="en-US" w:eastAsia="zh-CN"/>
        </w:rPr>
        <w:t xml:space="preserve">       </w:t>
      </w:r>
      <w:r>
        <w:rPr>
          <w:rFonts w:hint="eastAsia" w:ascii="Times New Roman" w:hAnsi="Times New Roman" w:cs="Times New Roman"/>
          <w:lang w:val="en-US" w:eastAsia="zh-CN"/>
        </w:rPr>
        <w:t>多年来我公司造就了一支生产技术纯熟、管理经验丰富的企业团队。公司现有员工200余人，其中高级工程师5人、中央美院家具设计师3名、技术人员138人。公司先后购置了多套国外生产设备及生产流水线，现拥有160多台（套）国内外先进的木工机械设备。其中意大利五轴加工中心、德国产直线封边机、电子开料机、日本产焊接机器人及韩国产喷涂流水线达到国际先进水平。“立足中国，放眼全球”！如今，“吉荣”的营销网络已覆盖国内20余省市，公司是中国家具协会会员，绿色环保家具生产企业，是河北省“重合同、守信用”单位，2013年获河北省“消费者信得过产品证书”。“吉荣”牌商标于2008年被河北省工商行政管理局认定为河北省著名商标。</w:t>
      </w:r>
    </w:p>
    <w:p>
      <w:pPr>
        <w:shd w:val="clear" w:color="auto" w:fill="auto"/>
        <w:bidi w:val="0"/>
        <w:rPr>
          <w:rFonts w:hint="eastAsia" w:ascii="Times New Roman" w:hAnsi="Times New Roman" w:cs="Times New Roman"/>
          <w:lang w:val="en-US" w:eastAsia="zh-CN"/>
        </w:rPr>
      </w:pPr>
      <w:r>
        <w:rPr>
          <w:rFonts w:hint="eastAsia" w:ascii="Times New Roman" w:hAnsi="Times New Roman" w:cs="Times New Roman"/>
          <w:lang w:val="en-US" w:eastAsia="zh-CN"/>
        </w:rPr>
        <w:t>公司生产的公共座椅和教学家具系列产品以其先进的设计和可靠的性能赢得了广大用户的信赖，以独特的魅力占据了国内外市场。公共座椅的设计以人体工程学为基础，十分注重材质的搭配和细节的处理，倾力营造和谐舒适的公共环境，给用户带来超值享受。吉荣教学排椅、教学课桌椅系列已被国内包括清华大学和北京大学在内的众多所大中专院校所采用。</w:t>
      </w:r>
      <w:r>
        <w:rPr>
          <w:rFonts w:hint="eastAsia" w:ascii="Times New Roman" w:hAnsi="Times New Roman" w:cs="Times New Roman"/>
          <w:lang w:val="en-US" w:eastAsia="zh-CN"/>
        </w:rPr>
        <w:br w:type="textWrapping"/>
      </w:r>
      <w:r>
        <w:rPr>
          <w:rFonts w:hint="eastAsia" w:ascii="Times New Roman" w:hAnsi="Times New Roman" w:cs="Times New Roman"/>
          <w:lang w:val="en-US" w:eastAsia="zh-CN"/>
        </w:rPr>
        <w:t xml:space="preserve">    公司严格按照ISO9001质量管理体系认证和ISO14001环境管理体系认证标准生产，使产品工艺达到国际先进水平，从而保证了产品的高质量和绿色环保要求。以创造舒适和谐的公共环境为己任，吉荣全体同仁愿真诚与您携手，共创美好明天。</w:t>
      </w:r>
    </w:p>
    <w:p>
      <w:pPr>
        <w:bidi w:val="0"/>
        <w:rPr>
          <w:b/>
          <w:bCs/>
        </w:rPr>
      </w:pPr>
      <w:r>
        <w:rPr>
          <w:b/>
          <w:bCs/>
        </w:rPr>
        <w:t>二</w:t>
      </w:r>
      <w:bookmarkEnd w:id="3"/>
      <w:r>
        <w:rPr>
          <w:b/>
          <w:bCs/>
        </w:rPr>
        <w:t>、产品服务</w:t>
      </w:r>
    </w:p>
    <w:p>
      <w:pPr>
        <w:bidi w:val="0"/>
      </w:pPr>
      <w:r>
        <w:rPr>
          <w:rFonts w:hint="eastAsia"/>
          <w:lang w:val="en-US" w:eastAsia="zh-CN"/>
        </w:rPr>
        <w:t>吉荣家具有限公司</w:t>
      </w:r>
      <w:r>
        <w:t>现已建成技术先进、设备齐全、管理规范的生产线，在丰富的实践经验和坚实的专业技术基础上，通过自主创新和技术合作，在行业领域研发了具有自主知识产权的核心技术。产品按照规范和标准设计和制造；按</w:t>
      </w:r>
      <w:r>
        <w:rPr>
          <w:lang w:val="en-US" w:eastAsia="en-US"/>
        </w:rPr>
        <w:t>ISO9001</w:t>
      </w:r>
      <w:r>
        <w:t>和</w:t>
      </w:r>
      <w:r>
        <w:rPr>
          <w:lang w:val="en-US" w:eastAsia="en-US"/>
        </w:rPr>
        <w:t>ISO14001</w:t>
      </w:r>
      <w:r>
        <w:t>规范建立起来的质量保证体系，确保了产品的最佳品质和公司的有效运作。</w:t>
      </w:r>
    </w:p>
    <w:p>
      <w:pPr>
        <w:bidi w:val="0"/>
      </w:pPr>
      <w:r>
        <w:t>公司追求</w:t>
      </w:r>
      <w:r>
        <w:rPr>
          <w:lang w:val="zh-CN" w:eastAsia="zh-CN"/>
        </w:rPr>
        <w:t>“质无</w:t>
      </w:r>
      <w:r>
        <w:t>缺陷，客无抱怨''的完美质量理念，以先进工艺带动质量，以管控体系保证质量，以技术发展促进质量。通过并严格落实</w:t>
      </w:r>
      <w:r>
        <w:rPr>
          <w:lang w:val="en-US" w:eastAsia="en-US"/>
        </w:rPr>
        <w:t>ISO9001</w:t>
      </w:r>
      <w:r>
        <w:t>质量管理体系及</w:t>
      </w:r>
      <w:r>
        <w:rPr>
          <w:lang w:val="en-US" w:eastAsia="en-US"/>
        </w:rPr>
        <w:t>ISO14001</w:t>
      </w:r>
      <w:r>
        <w:t>环境管理体系；生产执行质量管理标准，确保了产品品质卓越而稳定，国内外客户髙度认同，与国内各大单位建立了战略合作关系，产品远销国内部各个地区。</w:t>
      </w:r>
    </w:p>
    <w:p>
      <w:pPr>
        <w:bidi w:val="0"/>
        <w:rPr>
          <w:b/>
          <w:bCs/>
        </w:rPr>
      </w:pPr>
      <w:bookmarkStart w:id="4" w:name="bookmark5"/>
      <w:r>
        <w:rPr>
          <w:b/>
          <w:bCs/>
        </w:rPr>
        <w:t>三</w:t>
      </w:r>
      <w:bookmarkEnd w:id="4"/>
      <w:r>
        <w:rPr>
          <w:b/>
          <w:bCs/>
        </w:rPr>
        <w:t>、对供应链伙伴的责任</w:t>
      </w:r>
    </w:p>
    <w:p>
      <w:pPr>
        <w:bidi w:val="0"/>
      </w:pPr>
      <w:bookmarkStart w:id="5" w:name="bookmark6"/>
      <w:r>
        <w:t>（</w:t>
      </w:r>
      <w:bookmarkEnd w:id="5"/>
      <w:r>
        <w:t>一）维护企业产权人合法权益，平等对待所有产权人。</w:t>
      </w:r>
    </w:p>
    <w:p>
      <w:pPr>
        <w:bidi w:val="0"/>
      </w:pPr>
      <w:bookmarkStart w:id="6" w:name="bookmark7"/>
      <w:r>
        <w:t>（</w:t>
      </w:r>
      <w:bookmarkEnd w:id="6"/>
      <w:r>
        <w:t>二）兑现债权人承诺，安排相应的债权人利益保障措施。</w:t>
      </w:r>
    </w:p>
    <w:p>
      <w:pPr>
        <w:bidi w:val="0"/>
      </w:pPr>
      <w:bookmarkStart w:id="7" w:name="bookmark8"/>
      <w:r>
        <w:t>（</w:t>
      </w:r>
      <w:bookmarkEnd w:id="7"/>
      <w:r>
        <w:t>三）采购责任制度及方针</w:t>
      </w:r>
    </w:p>
    <w:p>
      <w:pPr>
        <w:bidi w:val="0"/>
      </w:pPr>
      <w:r>
        <w:t>采购负责人对供应商和采购产品的质量负责，按照生产需要及时提出采购计划，经公司审核同意签订采购合同并按照采购合同安排产品的进货检验，检验合格方可允许入厂，对验收不合格产品及原材料坚决要求退货或更换产品。</w:t>
      </w:r>
    </w:p>
    <w:p>
      <w:pPr>
        <w:bidi w:val="0"/>
      </w:pPr>
      <w:r>
        <w:t>（四）保障供应商、分包商与客户经销商合法权益</w:t>
      </w:r>
    </w:p>
    <w:p>
      <w:pPr>
        <w:bidi w:val="0"/>
      </w:pPr>
      <w:r>
        <w:t>公司严格按照采购合同对供应商进行付款，合法保障供应商的权益，共谋平等互利、诚信合作伙伴关系。</w:t>
      </w:r>
    </w:p>
    <w:p>
      <w:pPr>
        <w:bidi w:val="0"/>
        <w:rPr>
          <w:b/>
          <w:bCs/>
        </w:rPr>
      </w:pPr>
      <w:r>
        <w:rPr>
          <w:b/>
          <w:bCs/>
        </w:rPr>
        <w:t>四、承担诚信责任</w:t>
      </w:r>
    </w:p>
    <w:p>
      <w:pPr>
        <w:bidi w:val="0"/>
      </w:pPr>
      <w:bookmarkStart w:id="8" w:name="bookmark9"/>
      <w:r>
        <w:t>（</w:t>
      </w:r>
      <w:bookmarkEnd w:id="8"/>
      <w:r>
        <w:t>一）守法诚信</w:t>
      </w:r>
    </w:p>
    <w:p>
      <w:pPr>
        <w:bidi w:val="0"/>
      </w:pPr>
      <w:bookmarkStart w:id="9" w:name="bookmark10"/>
      <w:r>
        <w:t>1</w:t>
      </w:r>
      <w:bookmarkEnd w:id="9"/>
      <w:r>
        <w:t>、遵守法律法规和社会公德、商业道德以及行业规则。公司坚持依法经营，诚实守信。正在经营中，模范遵守法律法规和社会公德、商业道德以及行业规则，及时足额纳税，忠实履行合同，恪守商业信用，反对不正当竞争；切实把好产品质量关和提髙产品技术服务水平，努力为社会提供优质、安全、科学、可靠的产品技术服务，取得广大客户的信赖与认同；确保生产安全，努力为职工提供安全、健康、卫生的工作和生活环境，保障职工职业健康，遵守法律法规和社会公德、商业道德以及行业规则，无重大违法、违规的负面信息。</w:t>
      </w:r>
    </w:p>
    <w:p>
      <w:pPr>
        <w:bidi w:val="0"/>
      </w:pPr>
      <w:bookmarkStart w:id="10" w:name="bookmark11"/>
      <w:r>
        <w:t>2</w:t>
      </w:r>
      <w:bookmarkEnd w:id="10"/>
      <w:r>
        <w:t>、反对不正当竞争，杜绝商业活动中的腐败行为。对外公司凭借一流的产品技术服务赢得客户满意，对内开展党风廉政建设活动，杜绝商业活动中的腐败行为。</w:t>
      </w:r>
    </w:p>
    <w:p>
      <w:pPr>
        <w:bidi w:val="0"/>
      </w:pPr>
      <w:bookmarkStart w:id="11" w:name="bookmark12"/>
      <w:r>
        <w:t>（</w:t>
      </w:r>
      <w:bookmarkEnd w:id="11"/>
      <w:r>
        <w:t>二）诚信经营与服务。</w:t>
      </w:r>
    </w:p>
    <w:p>
      <w:pPr>
        <w:bidi w:val="0"/>
      </w:pPr>
      <w:r>
        <w:t>树立诚信经营的理念与保障诚信经营的制度。公司从道德范畴提髙员工的诚信观念，宣传诚信对企业生存的重要意义以及对员工个人魅力提升的意义。从法律范畴对员工进行约束，不诚信的企业也必然不能遵纪守法。从监管方面促进企业诚信，包括合同履行的统计、顾客回访等。</w:t>
      </w:r>
    </w:p>
    <w:p>
      <w:pPr>
        <w:bidi w:val="0"/>
      </w:pPr>
      <w:r>
        <w:t>五、担负环保、职业健康安全责任</w:t>
      </w:r>
    </w:p>
    <w:p>
      <w:pPr>
        <w:bidi w:val="0"/>
      </w:pPr>
      <w:bookmarkStart w:id="12" w:name="bookmark13"/>
      <w:r>
        <w:t>（</w:t>
      </w:r>
      <w:bookmarkEnd w:id="12"/>
      <w:r>
        <w:t>一）环境管理方面</w:t>
      </w:r>
    </w:p>
    <w:p>
      <w:pPr>
        <w:bidi w:val="0"/>
      </w:pPr>
      <w:bookmarkStart w:id="13" w:name="bookmark14"/>
      <w:r>
        <w:t>1</w:t>
      </w:r>
      <w:bookmarkEnd w:id="13"/>
      <w:r>
        <w:t>、公司通过</w:t>
      </w:r>
      <w:r>
        <w:rPr>
          <w:lang w:val="en-US" w:eastAsia="en-US"/>
        </w:rPr>
        <w:t>GB/T24001-2015/ISO14001:2015</w:t>
      </w:r>
      <w:r>
        <w:t>环境管理体系认证和严格遵守环境保护相关法律法规要求，办理了《排放污染物许可证》，并定期进行三废监测。</w:t>
      </w:r>
    </w:p>
    <w:p>
      <w:pPr>
        <w:bidi w:val="0"/>
      </w:pPr>
      <w:bookmarkStart w:id="14" w:name="bookmark15"/>
      <w:r>
        <w:t>2</w:t>
      </w:r>
      <w:bookmarkEnd w:id="14"/>
      <w:r>
        <w:t>、按照法律法规要求进行了环境影响评价。</w:t>
      </w:r>
    </w:p>
    <w:p>
      <w:pPr>
        <w:bidi w:val="0"/>
      </w:pPr>
      <w:bookmarkStart w:id="15" w:name="bookmark16"/>
      <w:r>
        <w:t>3</w:t>
      </w:r>
      <w:bookmarkEnd w:id="15"/>
      <w:r>
        <w:t>、从建厂至今无环保违规负面信息。</w:t>
      </w:r>
    </w:p>
    <w:p>
      <w:pPr>
        <w:bidi w:val="0"/>
      </w:pPr>
      <w:bookmarkStart w:id="16" w:name="bookmark17"/>
      <w:r>
        <w:t>（</w:t>
      </w:r>
      <w:bookmarkEnd w:id="16"/>
      <w:r>
        <w:t>二）职业健康安全方面</w:t>
      </w:r>
    </w:p>
    <w:p>
      <w:pPr>
        <w:bidi w:val="0"/>
      </w:pPr>
      <w:r>
        <w:rPr>
          <w:rFonts w:hint="eastAsia"/>
          <w:lang w:val="en-US" w:eastAsia="zh-CN"/>
        </w:rPr>
        <w:t>1</w:t>
      </w:r>
      <w:r>
        <w:t>、对普通岗位和存在职业病危害的岗位进行了职业病体检，员工所有体检项目均未发现异常。</w:t>
      </w:r>
    </w:p>
    <w:p>
      <w:pPr>
        <w:bidi w:val="0"/>
      </w:pPr>
      <w:r>
        <w:rPr>
          <w:rFonts w:hint="eastAsia"/>
          <w:lang w:val="en-US" w:eastAsia="zh-CN"/>
        </w:rPr>
        <w:t>2</w:t>
      </w:r>
      <w:r>
        <w:t>、从建厂至今无职业健康安全违规负面信息。</w:t>
      </w:r>
    </w:p>
    <w:p>
      <w:pPr>
        <w:bidi w:val="0"/>
      </w:pPr>
      <w:bookmarkStart w:id="17" w:name="bookmark23"/>
      <w:r>
        <w:t>（</w:t>
      </w:r>
      <w:bookmarkEnd w:id="17"/>
      <w:r>
        <w:t>三）</w:t>
      </w:r>
      <w:r>
        <w:rPr>
          <w:rFonts w:hint="eastAsia"/>
          <w:lang w:eastAsia="zh-CN"/>
        </w:rPr>
        <w:t>2023</w:t>
      </w:r>
      <w:r>
        <w:t>年安全生产和环保资金投入情况</w:t>
      </w:r>
    </w:p>
    <w:p>
      <w:pPr>
        <w:bidi w:val="0"/>
      </w:pPr>
      <w:r>
        <w:t>过去的一年在我们总经理的亲自指导下，遵循安全是基础，经济效益是生命线的原则，加强安全生产管理，认真落实各级管理人员的安全生产责任制，努力完善安全生产自我约束机制，不断夯实安全基础，严格贯彻安全生产操作规程和各项安全生产规章制度，强化安全教育和培训，为公司各项工作的开展和经济指标的完成打下了坚实基础，为此，我们在安全环保方面投入大量资金。包括安全教育资金、为从业人员配备符合国家标准的个体防护用品及保健生活经费、安全设施资金投入、建立应急救援队伍开展应急救援演练资金投入、厂区绿化费用、环境监测费用、除尘降噪处理费用、环保设施投入费用、生产生活垃圾处理费用等。</w:t>
      </w:r>
    </w:p>
    <w:p>
      <w:pPr>
        <w:widowControl w:val="0"/>
        <w:jc w:val="right"/>
        <w:rPr>
          <w:sz w:val="2"/>
          <w:szCs w:val="2"/>
        </w:rPr>
      </w:pPr>
    </w:p>
    <w:sectPr>
      <w:footerReference r:id="rId7" w:type="default"/>
      <w:footnotePr>
        <w:numFmt w:val="decimal"/>
      </w:footnotePr>
      <w:pgSz w:w="11900" w:h="16840"/>
      <w:pgMar w:top="1417" w:right="1176" w:bottom="1188" w:left="1418" w:header="989" w:footer="760" w:gutter="0"/>
      <w:pgNumType w:fmt="decimal"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p>
  </w:endnote>
  <w:endnote w:type="continuationSeparator" w:id="1">
    <w:p>
      <w:pPr>
        <w:spacing w:line="240" w:lineRule="auto"/>
        <w:ind w:firstLine="56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3782060</wp:posOffset>
              </wp:positionH>
              <wp:positionV relativeFrom="page">
                <wp:posOffset>10289540</wp:posOffset>
              </wp:positionV>
              <wp:extent cx="45720" cy="73025"/>
              <wp:effectExtent l="0" t="0" r="0" b="0"/>
              <wp:wrapNone/>
              <wp:docPr id="2" name="Shape 2"/>
              <wp:cNvGraphicFramePr/>
              <a:graphic xmlns:a="http://schemas.openxmlformats.org/drawingml/2006/main">
                <a:graphicData uri="http://schemas.microsoft.com/office/word/2010/wordprocessingShape">
                  <wps:wsp>
                    <wps:cNvSpPr txBox="1"/>
                    <wps:spPr>
                      <a:xfrm>
                        <a:off x="0" y="0"/>
                        <a:ext cx="45720" cy="73025"/>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9"/>
                              <w:szCs w:val="19"/>
                            </w:rPr>
                            <w:t>#</w:t>
                          </w:r>
                          <w:r>
                            <w:rPr>
                              <w:rFonts w:ascii="Times New Roman" w:hAnsi="Times New Roman" w:eastAsia="Times New Roman" w:cs="Times New Roman"/>
                              <w:color w:val="000000"/>
                              <w:spacing w:val="0"/>
                              <w:w w:val="100"/>
                              <w:position w:val="0"/>
                              <w:sz w:val="19"/>
                              <w:szCs w:val="19"/>
                            </w:rPr>
                            <w:fldChar w:fldCharType="end"/>
                          </w:r>
                        </w:p>
                      </w:txbxContent>
                    </wps:txbx>
                    <wps:bodyPr wrap="none" lIns="0" tIns="0" rIns="0" bIns="0">
                      <a:spAutoFit/>
                    </wps:bodyPr>
                  </wps:wsp>
                </a:graphicData>
              </a:graphic>
            </wp:anchor>
          </w:drawing>
        </mc:Choice>
        <mc:Fallback>
          <w:pict>
            <v:shape id="Shape 2" o:spid="_x0000_s1026" o:spt="202" type="#_x0000_t202" style="position:absolute;left:0pt;margin-left:297.8pt;margin-top:810.2pt;height:5.75pt;width:3.6pt;mso-position-horizontal-relative:page;mso-position-vertical-relative:page;mso-wrap-style:none;z-index:-251657216;mso-width-relative:page;mso-height-relative:page;" filled="f" stroked="f" coordsize="21600,21600" o:gfxdata="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VmghZ9gAAAAN&#10;AQAADwAAAAAAAAABACAAAAAiAAAAZHJzL2Rvd25yZXYueG1sUEsBAhQAFAAAAAgAh07iQEEHTVWq&#10;AQAAbQMAAA4AAAAAAAAAAQAgAAAAJwEAAGRycy9lMm9Eb2MueG1sUEsFBgAAAAAGAAYAWQEAAEMF&#10;AAAAAA==&#10;">
              <v:fill on="f" focussize="0,0"/>
              <v:stroke on="f"/>
              <v:imagedata o:title=""/>
              <o:lock v:ext="edit" aspectratio="f"/>
              <v:textbox inset="0mm,0mm,0mm,0mm" style="mso-fit-shape-to-text:t;">
                <w:txbxContent>
                  <w:p>
                    <w:pPr>
                      <w:pStyle w:val="20"/>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9"/>
                        <w:szCs w:val="19"/>
                      </w:rPr>
                      <w:t>#</w:t>
                    </w:r>
                    <w:r>
                      <w:rPr>
                        <w:rFonts w:ascii="Times New Roman" w:hAnsi="Times New Roman" w:eastAsia="Times New Roman" w:cs="Times New Roman"/>
                        <w:color w:val="000000"/>
                        <w:spacing w:val="0"/>
                        <w:w w:val="100"/>
                        <w:position w:val="0"/>
                        <w:sz w:val="19"/>
                        <w:szCs w:val="19"/>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560"/>
      </w:pPr>
    </w:p>
  </w:footnote>
  <w:footnote w:type="continuationSeparator" w:id="1">
    <w:p>
      <w:pPr>
        <w:spacing w:before="0" w:after="0" w:line="360" w:lineRule="auto"/>
        <w:ind w:firstLine="56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EC0141"/>
    <w:multiLevelType w:val="singleLevel"/>
    <w:tmpl w:val="FCEC014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docVars>
    <w:docVar w:name="commondata" w:val="eyJoZGlkIjoiNzE2NjEzOTMzZGFjZTFkMGQyZmM1MzM0ZWJmN2EzNTgifQ=="/>
    <w:docVar w:name="KSO_WPS_MARK_KEY" w:val="01f19ae4-451e-4022-93b1-99e1c4a4c258"/>
  </w:docVars>
  <w:rsids>
    <w:rsidRoot w:val="00000000"/>
    <w:rsid w:val="20936F80"/>
    <w:rsid w:val="256C0554"/>
    <w:rsid w:val="4B72592C"/>
    <w:rsid w:val="64775A66"/>
    <w:rsid w:val="74CF6114"/>
    <w:rsid w:val="7C955EF8"/>
    <w:rsid w:val="7FB623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360" w:lineRule="auto"/>
      <w:ind w:left="0" w:right="0" w:firstLine="1400" w:firstLineChars="200"/>
      <w:jc w:val="left"/>
    </w:pPr>
    <w:rPr>
      <w:rFonts w:ascii="Times New Roman" w:hAnsi="Times New Roman" w:eastAsia="仿宋" w:cs="Times New Roman"/>
      <w:color w:val="000000"/>
      <w:spacing w:val="0"/>
      <w:w w:val="100"/>
      <w:position w:val="0"/>
      <w:sz w:val="28"/>
      <w:szCs w:val="28"/>
      <w:shd w:val="clear" w:color="auto" w:fill="auto"/>
      <w:lang w:val="en-US" w:eastAsia="en-US" w:bidi="en-US"/>
    </w:rPr>
  </w:style>
  <w:style w:type="character" w:default="1" w:styleId="10">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color w:val="000000"/>
      <w:szCs w:val="28"/>
    </w:rPr>
  </w:style>
  <w:style w:type="paragraph" w:styleId="3">
    <w:name w:val="Body Text Indent"/>
    <w:basedOn w:val="1"/>
    <w:next w:val="1"/>
    <w:qFormat/>
    <w:uiPriority w:val="0"/>
    <w:pPr>
      <w:autoSpaceDE w:val="0"/>
      <w:autoSpaceDN w:val="0"/>
      <w:adjustRightInd w:val="0"/>
      <w:jc w:val="left"/>
    </w:pPr>
    <w:rPr>
      <w:rFonts w:ascii="宋体" w:cs="Times New Roman"/>
      <w:kern w:val="0"/>
      <w:sz w:val="24"/>
      <w:szCs w:val="24"/>
    </w:rPr>
  </w:style>
  <w:style w:type="paragraph" w:styleId="4">
    <w:name w:val="Normal Indent"/>
    <w:basedOn w:val="1"/>
    <w:next w:val="5"/>
    <w:semiHidden/>
    <w:unhideWhenUsed/>
    <w:qFormat/>
    <w:uiPriority w:val="0"/>
    <w:pPr>
      <w:snapToGrid w:val="0"/>
      <w:spacing w:line="360" w:lineRule="auto"/>
      <w:ind w:firstLine="420" w:firstLineChars="200"/>
    </w:pPr>
    <w:rPr>
      <w:rFonts w:ascii="宋体" w:hAnsi="Times New Roman" w:cs="Times New Roman"/>
      <w:kern w:val="0"/>
      <w:sz w:val="24"/>
      <w:szCs w:val="21"/>
    </w:rPr>
  </w:style>
  <w:style w:type="paragraph" w:customStyle="1" w:styleId="5">
    <w:name w:val="样式 正文文本 + 首行缩进:  2 字符"/>
    <w:qFormat/>
    <w:uiPriority w:val="99"/>
    <w:pPr>
      <w:spacing w:line="480" w:lineRule="atLeast"/>
      <w:ind w:firstLine="480" w:firstLineChars="200"/>
      <w:jc w:val="both"/>
    </w:pPr>
    <w:rPr>
      <w:rFonts w:ascii="Times New Roman" w:hAnsi="Times New Roman" w:eastAsia="方正仿宋_GB2312" w:cs="Times New Roman"/>
      <w:sz w:val="24"/>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unhideWhenUsed/>
    <w:qFormat/>
    <w:uiPriority w:val="39"/>
    <w:pPr>
      <w:widowControl/>
      <w:spacing w:after="100" w:line="276" w:lineRule="auto"/>
      <w:ind w:left="220"/>
      <w:jc w:val="left"/>
    </w:pPr>
    <w:rPr>
      <w:rFonts w:cs="Times New Roman"/>
      <w:kern w:val="0"/>
      <w:sz w:val="22"/>
    </w:rPr>
  </w:style>
  <w:style w:type="character" w:customStyle="1" w:styleId="11">
    <w:name w:val="Heading #1|1_"/>
    <w:basedOn w:val="10"/>
    <w:link w:val="12"/>
    <w:qFormat/>
    <w:uiPriority w:val="0"/>
    <w:rPr>
      <w:rFonts w:ascii="宋体" w:hAnsi="宋体" w:eastAsia="宋体" w:cs="宋体"/>
      <w:color w:val="313336"/>
      <w:sz w:val="70"/>
      <w:szCs w:val="70"/>
      <w:u w:val="none"/>
      <w:shd w:val="clear" w:color="auto" w:fill="auto"/>
      <w:lang w:val="zh-TW" w:eastAsia="zh-TW" w:bidi="zh-TW"/>
    </w:rPr>
  </w:style>
  <w:style w:type="paragraph" w:customStyle="1" w:styleId="12">
    <w:name w:val="Heading #1|1"/>
    <w:basedOn w:val="1"/>
    <w:link w:val="11"/>
    <w:qFormat/>
    <w:uiPriority w:val="0"/>
    <w:pPr>
      <w:widowControl w:val="0"/>
      <w:shd w:val="clear" w:color="auto" w:fill="auto"/>
      <w:spacing w:after="160"/>
      <w:jc w:val="center"/>
      <w:outlineLvl w:val="0"/>
    </w:pPr>
    <w:rPr>
      <w:rFonts w:ascii="宋体" w:hAnsi="宋体" w:eastAsia="宋体" w:cs="宋体"/>
      <w:color w:val="313336"/>
      <w:sz w:val="70"/>
      <w:szCs w:val="70"/>
      <w:u w:val="none"/>
      <w:shd w:val="clear" w:color="auto" w:fill="auto"/>
      <w:lang w:val="zh-TW" w:eastAsia="zh-TW" w:bidi="zh-TW"/>
    </w:rPr>
  </w:style>
  <w:style w:type="character" w:customStyle="1" w:styleId="13">
    <w:name w:val="Body text|2_"/>
    <w:basedOn w:val="10"/>
    <w:link w:val="14"/>
    <w:qFormat/>
    <w:uiPriority w:val="0"/>
    <w:rPr>
      <w:b/>
      <w:bCs/>
      <w:sz w:val="32"/>
      <w:szCs w:val="32"/>
      <w:u w:val="none"/>
      <w:shd w:val="clear" w:color="auto" w:fill="auto"/>
      <w:lang w:val="zh-TW" w:eastAsia="zh-TW" w:bidi="zh-TW"/>
    </w:rPr>
  </w:style>
  <w:style w:type="paragraph" w:customStyle="1" w:styleId="14">
    <w:name w:val="Body text|2"/>
    <w:basedOn w:val="1"/>
    <w:link w:val="13"/>
    <w:qFormat/>
    <w:uiPriority w:val="0"/>
    <w:pPr>
      <w:widowControl w:val="0"/>
      <w:shd w:val="clear" w:color="auto" w:fill="auto"/>
      <w:spacing w:after="1620"/>
      <w:ind w:firstLine="170"/>
    </w:pPr>
    <w:rPr>
      <w:b/>
      <w:bCs/>
      <w:sz w:val="32"/>
      <w:szCs w:val="32"/>
      <w:u w:val="none"/>
      <w:shd w:val="clear" w:color="auto" w:fill="auto"/>
      <w:lang w:val="zh-TW" w:eastAsia="zh-TW" w:bidi="zh-TW"/>
    </w:rPr>
  </w:style>
  <w:style w:type="character" w:customStyle="1" w:styleId="15">
    <w:name w:val="Body text|3_"/>
    <w:basedOn w:val="10"/>
    <w:link w:val="16"/>
    <w:qFormat/>
    <w:uiPriority w:val="0"/>
    <w:rPr>
      <w:rFonts w:ascii="宋体" w:hAnsi="宋体" w:eastAsia="宋体" w:cs="宋体"/>
      <w:color w:val="5C5C5C"/>
      <w:sz w:val="34"/>
      <w:szCs w:val="34"/>
      <w:u w:val="none"/>
      <w:shd w:val="clear" w:color="auto" w:fill="auto"/>
      <w:lang w:val="zh-TW" w:eastAsia="zh-TW" w:bidi="zh-TW"/>
    </w:rPr>
  </w:style>
  <w:style w:type="paragraph" w:customStyle="1" w:styleId="16">
    <w:name w:val="Body text|3"/>
    <w:basedOn w:val="1"/>
    <w:link w:val="15"/>
    <w:qFormat/>
    <w:uiPriority w:val="0"/>
    <w:pPr>
      <w:widowControl w:val="0"/>
      <w:shd w:val="clear" w:color="auto" w:fill="auto"/>
      <w:spacing w:after="820"/>
      <w:ind w:left="2400"/>
    </w:pPr>
    <w:rPr>
      <w:rFonts w:ascii="宋体" w:hAnsi="宋体" w:eastAsia="宋体" w:cs="宋体"/>
      <w:color w:val="5C5C5C"/>
      <w:sz w:val="34"/>
      <w:szCs w:val="34"/>
      <w:u w:val="none"/>
      <w:shd w:val="clear" w:color="auto" w:fill="auto"/>
      <w:lang w:val="zh-TW" w:eastAsia="zh-TW" w:bidi="zh-TW"/>
    </w:rPr>
  </w:style>
  <w:style w:type="character" w:customStyle="1" w:styleId="17">
    <w:name w:val="Body text|1_"/>
    <w:basedOn w:val="10"/>
    <w:link w:val="18"/>
    <w:qFormat/>
    <w:uiPriority w:val="0"/>
    <w:rPr>
      <w:rFonts w:ascii="宋体" w:hAnsi="宋体" w:eastAsia="宋体" w:cs="宋体"/>
      <w:sz w:val="30"/>
      <w:szCs w:val="30"/>
      <w:u w:val="none"/>
      <w:shd w:val="clear" w:color="auto" w:fill="auto"/>
      <w:lang w:val="zh-TW" w:eastAsia="zh-TW" w:bidi="zh-TW"/>
    </w:rPr>
  </w:style>
  <w:style w:type="paragraph" w:customStyle="1" w:styleId="18">
    <w:name w:val="Body text|1"/>
    <w:basedOn w:val="1"/>
    <w:link w:val="17"/>
    <w:qFormat/>
    <w:uiPriority w:val="0"/>
    <w:pPr>
      <w:widowControl w:val="0"/>
      <w:shd w:val="clear" w:color="auto" w:fill="auto"/>
      <w:spacing w:line="432" w:lineRule="auto"/>
      <w:ind w:firstLine="400"/>
    </w:pPr>
    <w:rPr>
      <w:rFonts w:ascii="宋体" w:hAnsi="宋体" w:eastAsia="宋体" w:cs="宋体"/>
      <w:sz w:val="30"/>
      <w:szCs w:val="30"/>
      <w:u w:val="none"/>
      <w:shd w:val="clear" w:color="auto" w:fill="auto"/>
      <w:lang w:val="zh-TW" w:eastAsia="zh-TW" w:bidi="zh-TW"/>
    </w:rPr>
  </w:style>
  <w:style w:type="character" w:customStyle="1" w:styleId="19">
    <w:name w:val="Header or footer|2_"/>
    <w:basedOn w:val="10"/>
    <w:link w:val="20"/>
    <w:qFormat/>
    <w:uiPriority w:val="0"/>
    <w:rPr>
      <w:sz w:val="20"/>
      <w:szCs w:val="20"/>
      <w:u w:val="none"/>
      <w:shd w:val="clear" w:color="auto" w:fill="auto"/>
      <w:lang w:val="zh-TW" w:eastAsia="zh-TW" w:bidi="zh-TW"/>
    </w:rPr>
  </w:style>
  <w:style w:type="paragraph" w:customStyle="1" w:styleId="20">
    <w:name w:val="Header or footer|2"/>
    <w:basedOn w:val="1"/>
    <w:link w:val="19"/>
    <w:qFormat/>
    <w:uiPriority w:val="0"/>
    <w:pPr>
      <w:widowControl w:val="0"/>
      <w:shd w:val="clear" w:color="auto" w:fill="auto"/>
    </w:pPr>
    <w:rPr>
      <w:sz w:val="20"/>
      <w:szCs w:val="20"/>
      <w:u w:val="none"/>
      <w:shd w:val="clear" w:color="auto" w:fill="auto"/>
      <w:lang w:val="zh-TW" w:eastAsia="zh-TW" w:bidi="zh-TW"/>
    </w:rPr>
  </w:style>
  <w:style w:type="character" w:customStyle="1" w:styleId="21">
    <w:name w:val="Header or footer|1_"/>
    <w:basedOn w:val="10"/>
    <w:link w:val="22"/>
    <w:qFormat/>
    <w:uiPriority w:val="0"/>
    <w:rPr>
      <w:sz w:val="19"/>
      <w:szCs w:val="19"/>
      <w:u w:val="none"/>
      <w:shd w:val="clear" w:color="auto" w:fill="auto"/>
      <w:lang w:val="zh-TW" w:eastAsia="zh-TW" w:bidi="zh-TW"/>
    </w:rPr>
  </w:style>
  <w:style w:type="paragraph" w:customStyle="1" w:styleId="22">
    <w:name w:val="Header or footer|1"/>
    <w:basedOn w:val="1"/>
    <w:link w:val="21"/>
    <w:qFormat/>
    <w:uiPriority w:val="0"/>
    <w:pPr>
      <w:widowControl w:val="0"/>
      <w:shd w:val="clear" w:color="auto" w:fill="auto"/>
    </w:pPr>
    <w:rPr>
      <w:sz w:val="19"/>
      <w:szCs w:val="19"/>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2695</Words>
  <Characters>2800</Characters>
  <TotalTime>1</TotalTime>
  <ScaleCrop>false</ScaleCrop>
  <LinksUpToDate>false</LinksUpToDate>
  <CharactersWithSpaces>2808</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2023-05-28T06:35:00Z</dcterms:created>
  <dc:creator>Wang Airy</dc:creator>
  <cp:lastModifiedBy>天河水</cp:lastModifiedBy>
  <dcterms:modified xsi:type="dcterms:W3CDTF">2024-05-11T02:19:59Z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3E26BB063877432E9D97FFBB9878B537_13</vt:lpwstr>
  </property>
</Properties>
</file>